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Default Extension="png" ContentType="image/pn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line="563" w:lineRule="exact" w:before="0"/>
        <w:ind w:left="192" w:right="211" w:firstLine="0"/>
        <w:jc w:val="center"/>
        <w:rPr>
          <w:sz w:val="48"/>
        </w:rPr>
      </w:pPr>
      <w:r>
        <w:rPr/>
        <w:pict>
          <v:line style="position:absolute;mso-position-horizontal-relative:page;mso-position-vertical-relative:paragraph;z-index:0;mso-wrap-distance-left:0;mso-wrap-distance-right:0" from="85.860001pt,33.5pt" to="510.360001pt,33.5pt" stroked="true" strokeweight="1.56pt" strokecolor="#808080">
            <v:stroke dashstyle="dot"/>
            <w10:wrap type="topAndBottom"/>
          </v:line>
        </w:pict>
      </w:r>
      <w:r>
        <w:rPr>
          <w:sz w:val="48"/>
        </w:rPr>
        <w:t>NOTA DE PRENSA</w:t>
      </w:r>
    </w:p>
    <w:p>
      <w:pPr>
        <w:pStyle w:val="BodyText"/>
        <w:spacing w:before="8"/>
        <w:rPr>
          <w:sz w:val="61"/>
        </w:rPr>
      </w:pPr>
    </w:p>
    <w:p>
      <w:pPr>
        <w:pStyle w:val="Heading1"/>
        <w:spacing w:line="360" w:lineRule="auto"/>
        <w:ind w:left="193" w:right="211"/>
      </w:pPr>
      <w:r>
        <w:rPr/>
        <w:t>La Alianza por la Competitividad de la Industria Española a favor de una mayor flexibilidad en el transporte marítimo</w:t>
      </w:r>
    </w:p>
    <w:p>
      <w:pPr>
        <w:pStyle w:val="BodyText"/>
        <w:spacing w:before="12"/>
        <w:rPr>
          <w:b/>
          <w:sz w:val="9"/>
        </w:rPr>
      </w:pPr>
      <w:r>
        <w:rPr/>
        <w:drawing>
          <wp:anchor distT="0" distB="0" distL="0" distR="0" allowOverlap="1" layoutInCell="1" locked="0" behindDoc="0" simplePos="0" relativeHeight="1048">
            <wp:simplePos x="0" y="0"/>
            <wp:positionH relativeFrom="page">
              <wp:posOffset>1693164</wp:posOffset>
            </wp:positionH>
            <wp:positionV relativeFrom="paragraph">
              <wp:posOffset>102195</wp:posOffset>
            </wp:positionV>
            <wp:extent cx="4218728" cy="596074"/>
            <wp:effectExtent l="0" t="0" r="0" b="0"/>
            <wp:wrapTopAndBottom/>
            <wp:docPr id="1" name="image1.jpeg" descr=""/>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4218728" cy="596074"/>
                    </a:xfrm>
                    <a:prstGeom prst="rect">
                      <a:avLst/>
                    </a:prstGeom>
                  </pic:spPr>
                </pic:pic>
              </a:graphicData>
            </a:graphic>
          </wp:anchor>
        </w:drawing>
      </w:r>
      <w:r>
        <w:rPr/>
        <w:drawing>
          <wp:anchor distT="0" distB="0" distL="0" distR="0" allowOverlap="1" layoutInCell="1" locked="0" behindDoc="0" simplePos="0" relativeHeight="1072">
            <wp:simplePos x="0" y="0"/>
            <wp:positionH relativeFrom="page">
              <wp:posOffset>1080516</wp:posOffset>
            </wp:positionH>
            <wp:positionV relativeFrom="paragraph">
              <wp:posOffset>864195</wp:posOffset>
            </wp:positionV>
            <wp:extent cx="5418345" cy="438911"/>
            <wp:effectExtent l="0" t="0" r="0" b="0"/>
            <wp:wrapTopAndBottom/>
            <wp:docPr id="3" name="image2.jpeg" descr=""/>
            <wp:cNvGraphicFramePr>
              <a:graphicFrameLocks noChangeAspect="1"/>
            </wp:cNvGraphicFramePr>
            <a:graphic>
              <a:graphicData uri="http://schemas.openxmlformats.org/drawingml/2006/picture">
                <pic:pic>
                  <pic:nvPicPr>
                    <pic:cNvPr id="4" name="image2.jpeg"/>
                    <pic:cNvPicPr/>
                  </pic:nvPicPr>
                  <pic:blipFill>
                    <a:blip r:embed="rId6" cstate="print"/>
                    <a:stretch>
                      <a:fillRect/>
                    </a:stretch>
                  </pic:blipFill>
                  <pic:spPr>
                    <a:xfrm>
                      <a:off x="0" y="0"/>
                      <a:ext cx="5418345" cy="438911"/>
                    </a:xfrm>
                    <a:prstGeom prst="rect">
                      <a:avLst/>
                    </a:prstGeom>
                  </pic:spPr>
                </pic:pic>
              </a:graphicData>
            </a:graphic>
          </wp:anchor>
        </w:drawing>
      </w:r>
    </w:p>
    <w:p>
      <w:pPr>
        <w:pStyle w:val="BodyText"/>
        <w:spacing w:before="10"/>
        <w:rPr>
          <w:b/>
          <w:sz w:val="15"/>
        </w:rPr>
      </w:pPr>
    </w:p>
    <w:p>
      <w:pPr>
        <w:pStyle w:val="BodyText"/>
        <w:spacing w:before="5"/>
        <w:rPr>
          <w:b/>
          <w:sz w:val="21"/>
        </w:rPr>
      </w:pPr>
    </w:p>
    <w:p>
      <w:pPr>
        <w:pStyle w:val="BodyText"/>
        <w:ind w:left="810"/>
      </w:pPr>
      <w:r>
        <w:rPr/>
        <w:t>Madrid, 8 de febrero de 2017.</w:t>
      </w:r>
    </w:p>
    <w:p>
      <w:pPr>
        <w:pStyle w:val="BodyText"/>
        <w:spacing w:before="3"/>
        <w:rPr>
          <w:sz w:val="25"/>
        </w:rPr>
      </w:pPr>
    </w:p>
    <w:p>
      <w:pPr>
        <w:pStyle w:val="BodyText"/>
        <w:spacing w:line="360" w:lineRule="auto"/>
        <w:ind w:left="102" w:right="143" w:firstLine="707"/>
      </w:pPr>
      <w:r>
        <w:rPr/>
        <w:t>Los representantes de los estibadores portuarios han convocado varias jornadas de huelga que afectarán a la actividad exportadora española. Es una reacción al borrador de Real Decreto con el que el Ministerio de Fomento pretende liberalizar el sector de la estiba, en cumplimiento de una sentencia del Tribunal Europeo de</w:t>
      </w:r>
      <w:r>
        <w:rPr>
          <w:spacing w:val="-36"/>
        </w:rPr>
        <w:t> </w:t>
      </w:r>
      <w:r>
        <w:rPr/>
        <w:t>Justicia.</w:t>
      </w:r>
    </w:p>
    <w:p>
      <w:pPr>
        <w:pStyle w:val="BodyText"/>
        <w:spacing w:line="360" w:lineRule="auto" w:before="162"/>
        <w:ind w:left="102" w:right="230" w:firstLine="707"/>
      </w:pPr>
      <w:r>
        <w:rPr/>
        <w:t>En la Alianza por la Competitividad de la Industria Española creemos que hay que seguir avanzando en el incremento de la competitividad del sector industrial. Una parte importante de esta se logra gracias a obtener unos costes ajustados en los sistemas de transporte utilizados para colocar nuestros productos en los diferentes mercados.</w:t>
      </w:r>
    </w:p>
    <w:p>
      <w:pPr>
        <w:pStyle w:val="BodyText"/>
        <w:spacing w:line="360" w:lineRule="auto" w:before="162"/>
        <w:ind w:left="102" w:right="208" w:firstLine="707"/>
      </w:pPr>
      <w:r>
        <w:rPr/>
        <w:t>Como ya explicamos hace unas semanas en la Declaración de los Agentes Sociales instando al desarrollo de un Pacto de Estado por la Industria, “es necesario diseñar una política de infraestructuras logísticas y de transporte que permita mejorar la eficiencia, competitividad y sostenibilidad de los diferentes modos de transporte”.</w:t>
      </w:r>
    </w:p>
    <w:p>
      <w:pPr>
        <w:pStyle w:val="BodyText"/>
        <w:spacing w:line="360" w:lineRule="auto" w:before="163"/>
        <w:ind w:left="102" w:right="212" w:firstLine="707"/>
      </w:pPr>
      <w:r>
        <w:rPr/>
        <w:t>Hoy por hoy, y específicamente dentro del transporte marítimo, los costes relacionados con la estiba son importantes. Estamos convencidos de que la apertura a la competencia dentro del sector de la estiba, además de hacer cumplir la normativa europea, supondrá para la industria una contribución a la necesaria mejora en costes de transporte.</w:t>
      </w:r>
    </w:p>
    <w:p>
      <w:pPr>
        <w:spacing w:after="0" w:line="360" w:lineRule="auto"/>
        <w:sectPr>
          <w:type w:val="continuous"/>
          <w:pgSz w:w="11910" w:h="16840"/>
          <w:pgMar w:top="1420" w:bottom="280" w:left="1600" w:right="1580"/>
        </w:sectPr>
      </w:pPr>
    </w:p>
    <w:p>
      <w:pPr>
        <w:pStyle w:val="BodyText"/>
        <w:spacing w:line="360" w:lineRule="auto" w:before="37"/>
        <w:ind w:left="122" w:right="750" w:firstLine="707"/>
      </w:pPr>
      <w:r>
        <w:rPr/>
        <w:t>Desde la Alianza por la Competitividad de la Industria Española creemos que tenemos que seguir trabajando para que el transporte marítimo logre unos costes y una flexibilidad con altos grados de competitividad. De esta forma, continuaremos abriendo la economía española a los mercados exteriores, algo obligatorio en un mundo cada vez más globalizado. Un objetivo fundamental, que resulta beneficioso para todos y al que no contribuye esta huelga.</w:t>
      </w:r>
    </w:p>
    <w:p>
      <w:pPr>
        <w:pStyle w:val="BodyText"/>
      </w:pPr>
    </w:p>
    <w:p>
      <w:pPr>
        <w:pStyle w:val="BodyText"/>
        <w:spacing w:before="6"/>
        <w:rPr>
          <w:sz w:val="19"/>
        </w:rPr>
      </w:pPr>
    </w:p>
    <w:p>
      <w:pPr>
        <w:spacing w:before="1"/>
        <w:ind w:left="122" w:right="0" w:firstLine="0"/>
        <w:jc w:val="both"/>
        <w:rPr>
          <w:sz w:val="16"/>
        </w:rPr>
      </w:pPr>
      <w:r>
        <w:rPr/>
        <w:pict>
          <v:line style="position:absolute;mso-position-horizontal-relative:page;mso-position-vertical-relative:paragraph;z-index:-4768" from="182.899994pt,70.577194pt" to="245.683994pt,70.577194pt" stroked="true" strokeweight=".48001pt" strokecolor="#0000ff">
            <v:stroke dashstyle="solid"/>
            <w10:wrap type="none"/>
          </v:line>
        </w:pict>
      </w:r>
      <w:r>
        <w:rPr/>
        <w:pict>
          <v:line style="position:absolute;mso-position-horizontal-relative:page;mso-position-vertical-relative:paragraph;z-index:-4720" from="85.620003pt,23.427202pt" to="510.120003pt,23.427202pt" stroked="true" strokeweight="1.56pt" strokecolor="#808080">
            <v:stroke dashstyle="dot"/>
            <w10:wrap type="none"/>
          </v:line>
        </w:pict>
      </w:r>
      <w:r>
        <w:rPr>
          <w:sz w:val="16"/>
        </w:rPr>
        <w:t>MÁS INFORMACIÓN:</w:t>
      </w:r>
    </w:p>
    <w:p>
      <w:pPr>
        <w:pStyle w:val="BodyText"/>
        <w:spacing w:before="3"/>
        <w:rPr>
          <w:sz w:val="22"/>
        </w:rPr>
      </w:pPr>
    </w:p>
    <w:tbl>
      <w:tblPr>
        <w:tblW w:w="0" w:type="auto"/>
        <w:jc w:val="left"/>
        <w:tblInd w:w="1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764"/>
        <w:gridCol w:w="1902"/>
        <w:gridCol w:w="1777"/>
        <w:gridCol w:w="1606"/>
      </w:tblGrid>
      <w:tr>
        <w:trPr>
          <w:trHeight w:val="1480" w:hRule="atLeast"/>
        </w:trPr>
        <w:tc>
          <w:tcPr>
            <w:tcW w:w="1764" w:type="dxa"/>
          </w:tcPr>
          <w:p>
            <w:pPr>
              <w:pStyle w:val="TableParagraph"/>
              <w:rPr>
                <w:sz w:val="14"/>
              </w:rPr>
            </w:pPr>
          </w:p>
          <w:p>
            <w:pPr>
              <w:pStyle w:val="TableParagraph"/>
              <w:spacing w:line="242" w:lineRule="auto" w:before="103"/>
              <w:ind w:left="97" w:right="173"/>
              <w:rPr>
                <w:rFonts w:ascii="Calibri-BoldItalic" w:hAnsi="Calibri-BoldItalic"/>
                <w:b/>
                <w:i/>
                <w:sz w:val="14"/>
              </w:rPr>
            </w:pPr>
            <w:r>
              <w:rPr>
                <w:sz w:val="14"/>
              </w:rPr>
              <w:t>Adolfo RANDULFE </w:t>
            </w:r>
            <w:r>
              <w:rPr>
                <w:rFonts w:ascii="Calibri-BoldItalic" w:hAnsi="Calibri-BoldItalic"/>
                <w:b/>
                <w:i/>
                <w:sz w:val="14"/>
              </w:rPr>
              <w:t>Director de Comunicación de ANFAC</w:t>
            </w:r>
          </w:p>
          <w:p>
            <w:pPr>
              <w:pStyle w:val="TableParagraph"/>
              <w:ind w:left="97" w:right="181"/>
              <w:rPr>
                <w:sz w:val="14"/>
              </w:rPr>
            </w:pPr>
            <w:hyperlink r:id="rId7">
              <w:r>
                <w:rPr>
                  <w:color w:val="0000FF"/>
                  <w:w w:val="95"/>
                  <w:sz w:val="14"/>
                  <w:u w:val="single" w:color="0000FF"/>
                </w:rPr>
                <w:t>adolfo.randulfe@anfac.es</w:t>
              </w:r>
            </w:hyperlink>
            <w:r>
              <w:rPr>
                <w:color w:val="0000FF"/>
                <w:w w:val="95"/>
                <w:sz w:val="14"/>
              </w:rPr>
              <w:t> </w:t>
            </w:r>
            <w:r>
              <w:rPr>
                <w:sz w:val="14"/>
              </w:rPr>
              <w:t>T: 91 343 13 45</w:t>
            </w:r>
          </w:p>
        </w:tc>
        <w:tc>
          <w:tcPr>
            <w:tcW w:w="1902" w:type="dxa"/>
          </w:tcPr>
          <w:p>
            <w:pPr>
              <w:pStyle w:val="TableParagraph"/>
              <w:rPr>
                <w:sz w:val="14"/>
              </w:rPr>
            </w:pPr>
          </w:p>
          <w:p>
            <w:pPr>
              <w:pStyle w:val="TableParagraph"/>
              <w:spacing w:line="171" w:lineRule="exact" w:before="103"/>
              <w:ind w:left="181"/>
              <w:rPr>
                <w:sz w:val="14"/>
              </w:rPr>
            </w:pPr>
            <w:r>
              <w:rPr>
                <w:sz w:val="14"/>
              </w:rPr>
              <w:t>Inés CARDENAL</w:t>
            </w:r>
          </w:p>
          <w:p>
            <w:pPr>
              <w:pStyle w:val="TableParagraph"/>
              <w:spacing w:line="242" w:lineRule="auto"/>
              <w:ind w:left="181" w:right="139"/>
              <w:rPr>
                <w:sz w:val="14"/>
              </w:rPr>
            </w:pPr>
            <w:r>
              <w:rPr>
                <w:rFonts w:ascii="Calibri-BoldItalic" w:hAnsi="Calibri-BoldItalic"/>
                <w:b/>
                <w:i/>
                <w:sz w:val="14"/>
              </w:rPr>
              <w:t>Directora de Comunicación de AOP </w:t>
            </w:r>
            <w:hyperlink r:id="rId8">
              <w:r>
                <w:rPr>
                  <w:color w:val="0000FF"/>
                  <w:sz w:val="14"/>
                </w:rPr>
                <w:t>ines.cardenal@aop.es</w:t>
              </w:r>
            </w:hyperlink>
          </w:p>
          <w:p>
            <w:pPr>
              <w:pStyle w:val="TableParagraph"/>
              <w:spacing w:line="169" w:lineRule="exact"/>
              <w:ind w:left="181"/>
              <w:rPr>
                <w:sz w:val="14"/>
              </w:rPr>
            </w:pPr>
            <w:r>
              <w:rPr>
                <w:sz w:val="14"/>
              </w:rPr>
              <w:t>T: 91 572 10 05</w:t>
            </w:r>
          </w:p>
        </w:tc>
        <w:tc>
          <w:tcPr>
            <w:tcW w:w="1777" w:type="dxa"/>
          </w:tcPr>
          <w:p>
            <w:pPr>
              <w:pStyle w:val="TableParagraph"/>
              <w:rPr>
                <w:sz w:val="14"/>
              </w:rPr>
            </w:pPr>
          </w:p>
          <w:p>
            <w:pPr>
              <w:pStyle w:val="TableParagraph"/>
              <w:spacing w:line="242" w:lineRule="auto" w:before="103"/>
              <w:ind w:left="161" w:right="161"/>
              <w:rPr>
                <w:rFonts w:ascii="Calibri-BoldItalic" w:hAnsi="Calibri-BoldItalic"/>
                <w:b/>
                <w:i/>
                <w:sz w:val="14"/>
              </w:rPr>
            </w:pPr>
            <w:r>
              <w:rPr>
                <w:sz w:val="14"/>
              </w:rPr>
              <w:t>Ángeles ÁLVAREZ </w:t>
            </w:r>
            <w:r>
              <w:rPr>
                <w:rFonts w:ascii="Calibri-BoldItalic" w:hAnsi="Calibri-BoldItalic"/>
                <w:b/>
                <w:i/>
                <w:sz w:val="14"/>
              </w:rPr>
              <w:t>Responsable de Prensa de ASPAPEL</w:t>
            </w:r>
          </w:p>
          <w:p>
            <w:pPr>
              <w:pStyle w:val="TableParagraph"/>
              <w:ind w:left="161"/>
              <w:rPr>
                <w:sz w:val="14"/>
              </w:rPr>
            </w:pPr>
            <w:hyperlink r:id="rId9">
              <w:r>
                <w:rPr>
                  <w:color w:val="0000FF"/>
                  <w:w w:val="95"/>
                  <w:sz w:val="14"/>
                  <w:u w:val="single" w:color="0000FF"/>
                </w:rPr>
                <w:t>aalvarez@informacioneim</w:t>
              </w:r>
            </w:hyperlink>
            <w:r>
              <w:rPr>
                <w:color w:val="0000FF"/>
                <w:w w:val="95"/>
                <w:sz w:val="14"/>
              </w:rPr>
              <w:t> </w:t>
            </w:r>
            <w:hyperlink r:id="rId9">
              <w:r>
                <w:rPr>
                  <w:color w:val="0000FF"/>
                  <w:sz w:val="14"/>
                  <w:u w:val="single" w:color="0000FF"/>
                </w:rPr>
                <w:t>agen.es</w:t>
              </w:r>
            </w:hyperlink>
          </w:p>
          <w:p>
            <w:pPr>
              <w:pStyle w:val="TableParagraph"/>
              <w:spacing w:line="170" w:lineRule="exact" w:before="2"/>
              <w:ind w:left="161"/>
              <w:rPr>
                <w:sz w:val="14"/>
              </w:rPr>
            </w:pPr>
            <w:r>
              <w:rPr>
                <w:sz w:val="14"/>
              </w:rPr>
              <w:t>T: 91 561 68 26</w:t>
            </w:r>
          </w:p>
        </w:tc>
        <w:tc>
          <w:tcPr>
            <w:tcW w:w="1606" w:type="dxa"/>
          </w:tcPr>
          <w:p>
            <w:pPr>
              <w:pStyle w:val="TableParagraph"/>
              <w:rPr>
                <w:sz w:val="14"/>
              </w:rPr>
            </w:pPr>
          </w:p>
          <w:p>
            <w:pPr>
              <w:pStyle w:val="TableParagraph"/>
              <w:spacing w:before="103"/>
              <w:ind w:left="121" w:right="211"/>
              <w:rPr>
                <w:rFonts w:ascii="Calibri-BoldItalic" w:hAnsi="Calibri-BoldItalic"/>
                <w:b/>
                <w:i/>
                <w:sz w:val="14"/>
              </w:rPr>
            </w:pPr>
            <w:r>
              <w:rPr>
                <w:sz w:val="14"/>
              </w:rPr>
              <w:t>Esmeralda HONRUBIA </w:t>
            </w:r>
            <w:r>
              <w:rPr>
                <w:rFonts w:ascii="Calibri-BoldItalic" w:hAnsi="Calibri-BoldItalic"/>
                <w:b/>
                <w:i/>
                <w:sz w:val="14"/>
              </w:rPr>
              <w:t>Directora de Comunicación de FEIQUE</w:t>
            </w:r>
          </w:p>
          <w:p>
            <w:pPr>
              <w:pStyle w:val="TableParagraph"/>
              <w:spacing w:line="170" w:lineRule="exact"/>
              <w:ind w:left="121"/>
              <w:rPr>
                <w:sz w:val="14"/>
              </w:rPr>
            </w:pPr>
            <w:hyperlink r:id="rId10">
              <w:r>
                <w:rPr>
                  <w:color w:val="0000FF"/>
                  <w:sz w:val="14"/>
                  <w:u w:val="single" w:color="0000FF"/>
                </w:rPr>
                <w:t>ehm@feique.org</w:t>
              </w:r>
            </w:hyperlink>
          </w:p>
          <w:p>
            <w:pPr>
              <w:pStyle w:val="TableParagraph"/>
              <w:spacing w:line="170" w:lineRule="exact"/>
              <w:ind w:left="121"/>
              <w:rPr>
                <w:sz w:val="14"/>
              </w:rPr>
            </w:pPr>
            <w:r>
              <w:rPr>
                <w:sz w:val="14"/>
              </w:rPr>
              <w:t>T: 914317964/690 011</w:t>
            </w:r>
          </w:p>
          <w:p>
            <w:pPr>
              <w:pStyle w:val="TableParagraph"/>
              <w:spacing w:line="171" w:lineRule="exact"/>
              <w:ind w:left="121"/>
              <w:rPr>
                <w:sz w:val="14"/>
              </w:rPr>
            </w:pPr>
            <w:r>
              <w:rPr>
                <w:sz w:val="14"/>
              </w:rPr>
              <w:t>962</w:t>
            </w:r>
          </w:p>
        </w:tc>
      </w:tr>
      <w:tr>
        <w:trPr>
          <w:trHeight w:val="1020" w:hRule="atLeast"/>
        </w:trPr>
        <w:tc>
          <w:tcPr>
            <w:tcW w:w="1764" w:type="dxa"/>
          </w:tcPr>
          <w:p>
            <w:pPr>
              <w:pStyle w:val="TableParagraph"/>
              <w:spacing w:line="171" w:lineRule="exact"/>
              <w:ind w:left="97"/>
              <w:rPr>
                <w:sz w:val="14"/>
              </w:rPr>
            </w:pPr>
            <w:r>
              <w:rPr>
                <w:sz w:val="14"/>
              </w:rPr>
              <w:t>Manuel SUÁREZ</w:t>
            </w:r>
          </w:p>
          <w:p>
            <w:pPr>
              <w:pStyle w:val="TableParagraph"/>
              <w:ind w:left="97" w:right="159"/>
              <w:rPr>
                <w:rFonts w:ascii="Calibri-BoldItalic" w:hAnsi="Calibri-BoldItalic"/>
                <w:b/>
                <w:i/>
                <w:sz w:val="14"/>
              </w:rPr>
            </w:pPr>
            <w:r>
              <w:rPr>
                <w:rFonts w:ascii="Calibri-BoldItalic" w:hAnsi="Calibri-BoldItalic"/>
                <w:b/>
                <w:i/>
                <w:sz w:val="14"/>
              </w:rPr>
              <w:t>Director de Comunicación de FIAB</w:t>
            </w:r>
          </w:p>
          <w:p>
            <w:pPr>
              <w:pStyle w:val="TableParagraph"/>
              <w:ind w:left="97" w:right="615"/>
              <w:rPr>
                <w:sz w:val="14"/>
              </w:rPr>
            </w:pPr>
            <w:hyperlink r:id="rId11">
              <w:r>
                <w:rPr>
                  <w:color w:val="0000FF"/>
                  <w:w w:val="95"/>
                  <w:sz w:val="14"/>
                  <w:u w:val="single" w:color="0000FF"/>
                </w:rPr>
                <w:t>m.suarez@fiab.es</w:t>
              </w:r>
            </w:hyperlink>
            <w:r>
              <w:rPr>
                <w:w w:val="95"/>
                <w:sz w:val="14"/>
              </w:rPr>
              <w:t> </w:t>
            </w:r>
            <w:r>
              <w:rPr>
                <w:sz w:val="14"/>
              </w:rPr>
              <w:t>T: 91 411 72 11</w:t>
            </w:r>
          </w:p>
        </w:tc>
        <w:tc>
          <w:tcPr>
            <w:tcW w:w="1902" w:type="dxa"/>
          </w:tcPr>
          <w:p>
            <w:pPr>
              <w:pStyle w:val="TableParagraph"/>
              <w:spacing w:line="171" w:lineRule="exact"/>
              <w:ind w:left="181"/>
              <w:rPr>
                <w:sz w:val="14"/>
              </w:rPr>
            </w:pPr>
            <w:r>
              <w:rPr>
                <w:sz w:val="14"/>
              </w:rPr>
              <w:t>Patricia HARO</w:t>
            </w:r>
          </w:p>
          <w:p>
            <w:pPr>
              <w:pStyle w:val="TableParagraph"/>
              <w:ind w:left="181"/>
              <w:rPr>
                <w:rFonts w:ascii="Calibri-BoldItalic" w:hAnsi="Calibri-BoldItalic"/>
                <w:b/>
                <w:i/>
                <w:sz w:val="14"/>
              </w:rPr>
            </w:pPr>
            <w:r>
              <w:rPr>
                <w:rFonts w:ascii="Calibri-BoldItalic" w:hAnsi="Calibri-BoldItalic"/>
                <w:b/>
                <w:i/>
                <w:sz w:val="14"/>
              </w:rPr>
              <w:t>Dpto. de Comunicación de OFICEMEN</w:t>
            </w:r>
          </w:p>
          <w:p>
            <w:pPr>
              <w:pStyle w:val="TableParagraph"/>
              <w:ind w:left="181" w:right="424"/>
              <w:rPr>
                <w:sz w:val="14"/>
              </w:rPr>
            </w:pPr>
            <w:hyperlink r:id="rId12">
              <w:r>
                <w:rPr>
                  <w:color w:val="0000FF"/>
                  <w:w w:val="95"/>
                  <w:sz w:val="14"/>
                  <w:u w:val="single" w:color="0000FF"/>
                </w:rPr>
                <w:t>pharo@oficemen.com</w:t>
              </w:r>
            </w:hyperlink>
            <w:r>
              <w:rPr>
                <w:color w:val="0000FF"/>
                <w:w w:val="95"/>
                <w:sz w:val="14"/>
              </w:rPr>
              <w:t> </w:t>
            </w:r>
            <w:r>
              <w:rPr>
                <w:sz w:val="14"/>
              </w:rPr>
              <w:t>T: 91 441 19 90</w:t>
            </w:r>
          </w:p>
        </w:tc>
        <w:tc>
          <w:tcPr>
            <w:tcW w:w="1777" w:type="dxa"/>
          </w:tcPr>
          <w:p>
            <w:pPr>
              <w:pStyle w:val="TableParagraph"/>
              <w:ind w:left="161" w:right="161"/>
              <w:rPr>
                <w:rFonts w:ascii="Calibri-BoldItalic"/>
                <w:b/>
                <w:i/>
                <w:sz w:val="14"/>
              </w:rPr>
            </w:pPr>
            <w:r>
              <w:rPr>
                <w:sz w:val="14"/>
              </w:rPr>
              <w:t>Luzma PIQUERES </w:t>
            </w:r>
            <w:r>
              <w:rPr>
                <w:rFonts w:ascii="Calibri-BoldItalic"/>
                <w:b/>
                <w:i/>
                <w:sz w:val="14"/>
              </w:rPr>
              <w:t>Responsable de Prensa de UNESID</w:t>
            </w:r>
          </w:p>
          <w:p>
            <w:pPr>
              <w:pStyle w:val="TableParagraph"/>
              <w:ind w:left="161"/>
              <w:rPr>
                <w:sz w:val="14"/>
              </w:rPr>
            </w:pPr>
            <w:hyperlink r:id="rId13">
              <w:r>
                <w:rPr>
                  <w:color w:val="0000FF"/>
                  <w:w w:val="95"/>
                  <w:sz w:val="14"/>
                </w:rPr>
                <w:t>luzmapiqueres@informaci</w:t>
              </w:r>
            </w:hyperlink>
            <w:r>
              <w:rPr>
                <w:color w:val="0000FF"/>
                <w:w w:val="95"/>
                <w:sz w:val="14"/>
              </w:rPr>
              <w:t> </w:t>
            </w:r>
            <w:hyperlink r:id="rId13">
              <w:r>
                <w:rPr>
                  <w:color w:val="0000FF"/>
                  <w:sz w:val="14"/>
                  <w:u w:val="single" w:color="0000FF"/>
                </w:rPr>
                <w:t>oneimagen.es</w:t>
              </w:r>
            </w:hyperlink>
          </w:p>
          <w:p>
            <w:pPr>
              <w:pStyle w:val="TableParagraph"/>
              <w:spacing w:line="148" w:lineRule="exact"/>
              <w:ind w:left="161"/>
              <w:rPr>
                <w:sz w:val="14"/>
              </w:rPr>
            </w:pPr>
            <w:r>
              <w:rPr>
                <w:sz w:val="14"/>
              </w:rPr>
              <w:t>T: 91 561 68 26</w:t>
            </w:r>
          </w:p>
        </w:tc>
        <w:tc>
          <w:tcPr>
            <w:tcW w:w="1606" w:type="dxa"/>
          </w:tcPr>
          <w:p>
            <w:pPr>
              <w:pStyle w:val="TableParagraph"/>
              <w:rPr>
                <w:rFonts w:ascii="Times New Roman"/>
                <w:sz w:val="18"/>
              </w:rPr>
            </w:pPr>
          </w:p>
        </w:tc>
      </w:tr>
    </w:tbl>
    <w:p>
      <w:pPr>
        <w:pStyle w:val="BodyText"/>
        <w:rPr>
          <w:sz w:val="16"/>
        </w:rPr>
      </w:pPr>
    </w:p>
    <w:p>
      <w:pPr>
        <w:pStyle w:val="BodyText"/>
        <w:rPr>
          <w:sz w:val="16"/>
        </w:rPr>
      </w:pPr>
    </w:p>
    <w:p>
      <w:pPr>
        <w:pStyle w:val="BodyText"/>
        <w:rPr>
          <w:sz w:val="16"/>
        </w:rPr>
      </w:pPr>
    </w:p>
    <w:p>
      <w:pPr>
        <w:pStyle w:val="BodyText"/>
        <w:rPr>
          <w:sz w:val="22"/>
        </w:rPr>
      </w:pPr>
    </w:p>
    <w:p>
      <w:pPr>
        <w:pStyle w:val="Heading1"/>
        <w:spacing w:before="1"/>
        <w:jc w:val="both"/>
      </w:pPr>
      <w:r>
        <w:rPr/>
        <w:pict>
          <v:line style="position:absolute;mso-position-horizontal-relative:page;mso-position-vertical-relative:paragraph;z-index:1096;mso-wrap-distance-left:0;mso-wrap-distance-right:0" from="85.139999pt,22.390083pt" to="509.639999pt,22.390083pt" stroked="true" strokeweight="1.56pt" strokecolor="#808080">
            <v:stroke dashstyle="dot"/>
            <w10:wrap type="topAndBottom"/>
          </v:line>
        </w:pict>
      </w:r>
      <w:r>
        <w:rPr/>
        <w:pict>
          <v:line style="position:absolute;mso-position-horizontal-relative:page;mso-position-vertical-relative:paragraph;z-index:-4744" from="277.010010pt,-60.539921pt" to="352.15401pt,-60.539921pt" stroked="true" strokeweight=".48001pt" strokecolor="#0000ff">
            <v:stroke dashstyle="solid"/>
            <w10:wrap type="none"/>
          </v:line>
        </w:pict>
      </w:r>
      <w:r>
        <w:rPr>
          <w:color w:val="4F6128"/>
        </w:rPr>
        <w:t>Datos Clave de la Alianza</w:t>
      </w:r>
    </w:p>
    <w:p>
      <w:pPr>
        <w:spacing w:line="199" w:lineRule="auto" w:before="128"/>
        <w:ind w:left="122" w:right="415" w:firstLine="0"/>
        <w:jc w:val="both"/>
        <w:rPr>
          <w:sz w:val="18"/>
        </w:rPr>
      </w:pPr>
      <w:r>
        <w:rPr>
          <w:sz w:val="18"/>
        </w:rPr>
        <w:t>La Alianza por la Competitividad de la Industria Española representa a los sectores industriales estratégicos para el desarrollo de la economía y el empleo en España, generando </w:t>
      </w:r>
      <w:r>
        <w:rPr>
          <w:color w:val="4F6128"/>
          <w:sz w:val="24"/>
        </w:rPr>
        <w:t>el 50% del Producto Industrial Bruto </w:t>
      </w:r>
      <w:r>
        <w:rPr>
          <w:sz w:val="18"/>
        </w:rPr>
        <w:t>y </w:t>
      </w:r>
      <w:r>
        <w:rPr>
          <w:color w:val="4F6128"/>
          <w:sz w:val="24"/>
        </w:rPr>
        <w:t>4 millones de empleos </w:t>
      </w:r>
      <w:r>
        <w:rPr>
          <w:sz w:val="18"/>
        </w:rPr>
        <w:t>directos, indirectos e inducidos. Conjuntamente, las empresas de la Alianza realizan el </w:t>
      </w:r>
      <w:r>
        <w:rPr>
          <w:color w:val="4F6128"/>
          <w:sz w:val="24"/>
        </w:rPr>
        <w:t>60% de las exportaciones </w:t>
      </w:r>
      <w:r>
        <w:rPr>
          <w:sz w:val="18"/>
        </w:rPr>
        <w:t>industriales y el </w:t>
      </w:r>
      <w:r>
        <w:rPr>
          <w:color w:val="4F6128"/>
          <w:sz w:val="24"/>
        </w:rPr>
        <w:t>50% de las inversiones en I+D+i</w:t>
      </w:r>
      <w:r>
        <w:rPr>
          <w:color w:val="4F6128"/>
          <w:sz w:val="18"/>
        </w:rPr>
        <w:t>.</w:t>
      </w:r>
    </w:p>
    <w:p>
      <w:pPr>
        <w:pStyle w:val="BodyText"/>
        <w:rPr>
          <w:sz w:val="20"/>
        </w:rPr>
      </w:pPr>
    </w:p>
    <w:p>
      <w:pPr>
        <w:pStyle w:val="BodyText"/>
        <w:spacing w:before="6"/>
        <w:rPr>
          <w:sz w:val="10"/>
        </w:rPr>
      </w:pPr>
      <w:r>
        <w:rPr/>
        <w:drawing>
          <wp:anchor distT="0" distB="0" distL="0" distR="0" allowOverlap="1" layoutInCell="1" locked="0" behindDoc="0" simplePos="0" relativeHeight="1120">
            <wp:simplePos x="0" y="0"/>
            <wp:positionH relativeFrom="page">
              <wp:posOffset>1080516</wp:posOffset>
            </wp:positionH>
            <wp:positionV relativeFrom="paragraph">
              <wp:posOffset>106450</wp:posOffset>
            </wp:positionV>
            <wp:extent cx="1947038" cy="569976"/>
            <wp:effectExtent l="0" t="0" r="0" b="0"/>
            <wp:wrapTopAndBottom/>
            <wp:docPr id="5" name="image3.png" descr=""/>
            <wp:cNvGraphicFramePr>
              <a:graphicFrameLocks noChangeAspect="1"/>
            </wp:cNvGraphicFramePr>
            <a:graphic>
              <a:graphicData uri="http://schemas.openxmlformats.org/drawingml/2006/picture">
                <pic:pic>
                  <pic:nvPicPr>
                    <pic:cNvPr id="6" name="image3.png"/>
                    <pic:cNvPicPr/>
                  </pic:nvPicPr>
                  <pic:blipFill>
                    <a:blip r:embed="rId14" cstate="print"/>
                    <a:stretch>
                      <a:fillRect/>
                    </a:stretch>
                  </pic:blipFill>
                  <pic:spPr>
                    <a:xfrm>
                      <a:off x="0" y="0"/>
                      <a:ext cx="1947038" cy="569976"/>
                    </a:xfrm>
                    <a:prstGeom prst="rect">
                      <a:avLst/>
                    </a:prstGeom>
                  </pic:spPr>
                </pic:pic>
              </a:graphicData>
            </a:graphic>
          </wp:anchor>
        </w:drawing>
      </w:r>
    </w:p>
    <w:p>
      <w:pPr>
        <w:pStyle w:val="BodyText"/>
        <w:spacing w:before="8"/>
        <w:rPr>
          <w:sz w:val="25"/>
        </w:rPr>
      </w:pPr>
    </w:p>
    <w:tbl>
      <w:tblPr>
        <w:tblW w:w="0" w:type="auto"/>
        <w:jc w:val="left"/>
        <w:tblInd w:w="5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8366"/>
      </w:tblGrid>
      <w:tr>
        <w:trPr>
          <w:trHeight w:val="460" w:hRule="atLeast"/>
        </w:trPr>
        <w:tc>
          <w:tcPr>
            <w:tcW w:w="8366" w:type="dxa"/>
            <w:tcBorders>
              <w:top w:val="dotted" w:sz="4" w:space="0" w:color="000000"/>
            </w:tcBorders>
          </w:tcPr>
          <w:p>
            <w:pPr>
              <w:pStyle w:val="TableParagraph"/>
              <w:tabs>
                <w:tab w:pos="8365" w:val="left" w:leader="none"/>
              </w:tabs>
              <w:spacing w:line="292" w:lineRule="exact"/>
              <w:jc w:val="right"/>
              <w:rPr>
                <w:sz w:val="24"/>
              </w:rPr>
            </w:pPr>
            <w:r>
              <w:rPr>
                <w:color w:val="808080"/>
                <w:spacing w:val="20"/>
                <w:sz w:val="24"/>
                <w:u w:val="single" w:color="4F6128"/>
              </w:rPr>
              <w:t> </w:t>
            </w:r>
            <w:r>
              <w:rPr>
                <w:color w:val="808080"/>
                <w:sz w:val="24"/>
                <w:u w:val="single" w:color="4F6128"/>
              </w:rPr>
              <w:t>Motor de la</w:t>
            </w:r>
            <w:r>
              <w:rPr>
                <w:color w:val="808080"/>
                <w:spacing w:val="-11"/>
                <w:sz w:val="24"/>
                <w:u w:val="single" w:color="4F6128"/>
              </w:rPr>
              <w:t> </w:t>
            </w:r>
            <w:r>
              <w:rPr>
                <w:color w:val="808080"/>
                <w:sz w:val="24"/>
                <w:u w:val="single" w:color="4F6128"/>
              </w:rPr>
              <w:t>Economía</w:t>
              <w:tab/>
            </w:r>
          </w:p>
        </w:tc>
      </w:tr>
      <w:tr>
        <w:trPr>
          <w:trHeight w:val="480" w:hRule="atLeast"/>
        </w:trPr>
        <w:tc>
          <w:tcPr>
            <w:tcW w:w="8366" w:type="dxa"/>
          </w:tcPr>
          <w:p>
            <w:pPr>
              <w:pStyle w:val="TableParagraph"/>
              <w:tabs>
                <w:tab w:pos="8113" w:val="left" w:leader="none"/>
              </w:tabs>
              <w:spacing w:before="125"/>
              <w:jc w:val="right"/>
              <w:rPr>
                <w:sz w:val="20"/>
              </w:rPr>
            </w:pPr>
            <w:r>
              <w:rPr>
                <w:rFonts w:ascii="Times New Roman" w:hAnsi="Times New Roman"/>
                <w:color w:val="4F6128"/>
                <w:spacing w:val="-42"/>
                <w:w w:val="100"/>
                <w:sz w:val="28"/>
                <w:u w:val="dotted" w:color="000000"/>
              </w:rPr>
              <w:t> </w:t>
            </w:r>
            <w:r>
              <w:rPr>
                <w:b/>
                <w:color w:val="4F6128"/>
                <w:sz w:val="28"/>
                <w:u w:val="dotted" w:color="000000"/>
              </w:rPr>
              <w:t>250.000 Millones €</w:t>
            </w:r>
            <w:r>
              <w:rPr>
                <w:b/>
                <w:color w:val="4F6128"/>
                <w:spacing w:val="-38"/>
                <w:sz w:val="28"/>
                <w:u w:val="dotted" w:color="000000"/>
              </w:rPr>
              <w:t> </w:t>
            </w:r>
            <w:r>
              <w:rPr>
                <w:sz w:val="20"/>
                <w:u w:val="dotted"/>
              </w:rPr>
              <w:t>de Cifra de Negocios (el 60% del total industrial)</w:t>
              <w:tab/>
            </w:r>
          </w:p>
        </w:tc>
      </w:tr>
      <w:tr>
        <w:trPr>
          <w:trHeight w:val="560" w:hRule="atLeast"/>
        </w:trPr>
        <w:tc>
          <w:tcPr>
            <w:tcW w:w="8366" w:type="dxa"/>
            <w:tcBorders>
              <w:bottom w:val="dotted" w:sz="4" w:space="0" w:color="000000"/>
            </w:tcBorders>
          </w:tcPr>
          <w:p>
            <w:pPr>
              <w:pStyle w:val="TableParagraph"/>
              <w:spacing w:line="322" w:lineRule="exact"/>
              <w:ind w:left="280"/>
              <w:rPr>
                <w:sz w:val="20"/>
              </w:rPr>
            </w:pPr>
            <w:r>
              <w:rPr>
                <w:b/>
                <w:color w:val="4F6128"/>
                <w:sz w:val="28"/>
              </w:rPr>
              <w:t>65.000 Millones € </w:t>
            </w:r>
            <w:r>
              <w:rPr>
                <w:sz w:val="20"/>
              </w:rPr>
              <w:t>de Valor Añadido (el 50% del Producto Industrial Bruto)</w:t>
            </w:r>
          </w:p>
        </w:tc>
      </w:tr>
      <w:tr>
        <w:trPr>
          <w:trHeight w:val="460" w:hRule="atLeast"/>
        </w:trPr>
        <w:tc>
          <w:tcPr>
            <w:tcW w:w="8366" w:type="dxa"/>
            <w:tcBorders>
              <w:top w:val="dotted" w:sz="4" w:space="0" w:color="000000"/>
            </w:tcBorders>
          </w:tcPr>
          <w:p>
            <w:pPr>
              <w:pStyle w:val="TableParagraph"/>
              <w:tabs>
                <w:tab w:pos="8365" w:val="left" w:leader="none"/>
              </w:tabs>
              <w:jc w:val="right"/>
              <w:rPr>
                <w:sz w:val="24"/>
              </w:rPr>
            </w:pPr>
            <w:r>
              <w:rPr>
                <w:color w:val="808080"/>
                <w:spacing w:val="-26"/>
                <w:sz w:val="24"/>
                <w:u w:val="single" w:color="4F6128"/>
              </w:rPr>
              <w:t> </w:t>
            </w:r>
            <w:r>
              <w:rPr>
                <w:color w:val="808080"/>
                <w:sz w:val="24"/>
                <w:u w:val="single" w:color="4F6128"/>
              </w:rPr>
              <w:t>Empleos estables, productivos y de alta</w:t>
            </w:r>
            <w:r>
              <w:rPr>
                <w:color w:val="808080"/>
                <w:spacing w:val="-17"/>
                <w:sz w:val="24"/>
                <w:u w:val="single" w:color="4F6128"/>
              </w:rPr>
              <w:t> </w:t>
            </w:r>
            <w:r>
              <w:rPr>
                <w:color w:val="808080"/>
                <w:sz w:val="24"/>
                <w:u w:val="single" w:color="4F6128"/>
              </w:rPr>
              <w:t>cualificación</w:t>
              <w:tab/>
            </w:r>
          </w:p>
        </w:tc>
      </w:tr>
      <w:tr>
        <w:trPr>
          <w:trHeight w:val="500" w:hRule="atLeast"/>
        </w:trPr>
        <w:tc>
          <w:tcPr>
            <w:tcW w:w="8366" w:type="dxa"/>
          </w:tcPr>
          <w:p>
            <w:pPr>
              <w:pStyle w:val="TableParagraph"/>
              <w:tabs>
                <w:tab w:pos="8084" w:val="left" w:leader="none"/>
              </w:tabs>
              <w:spacing w:before="126"/>
              <w:jc w:val="right"/>
              <w:rPr>
                <w:sz w:val="20"/>
              </w:rPr>
            </w:pPr>
            <w:r>
              <w:rPr>
                <w:b/>
                <w:color w:val="4F6128"/>
                <w:sz w:val="28"/>
                <w:u w:val="dotted" w:color="000000"/>
              </w:rPr>
              <w:t>4.000.000</w:t>
            </w:r>
            <w:r>
              <w:rPr>
                <w:b/>
                <w:color w:val="4F6128"/>
                <w:spacing w:val="-22"/>
                <w:sz w:val="28"/>
                <w:u w:val="dotted" w:color="000000"/>
              </w:rPr>
              <w:t> </w:t>
            </w:r>
            <w:r>
              <w:rPr>
                <w:sz w:val="20"/>
                <w:u w:val="dotted"/>
              </w:rPr>
              <w:t>de</w:t>
            </w:r>
            <w:r>
              <w:rPr>
                <w:spacing w:val="-2"/>
                <w:sz w:val="20"/>
                <w:u w:val="dotted"/>
              </w:rPr>
              <w:t> </w:t>
            </w:r>
            <w:r>
              <w:rPr>
                <w:sz w:val="20"/>
                <w:u w:val="dotted"/>
              </w:rPr>
              <w:t>empleos</w:t>
            </w:r>
            <w:r>
              <w:rPr>
                <w:spacing w:val="-5"/>
                <w:sz w:val="20"/>
                <w:u w:val="dotted"/>
              </w:rPr>
              <w:t> </w:t>
            </w:r>
            <w:r>
              <w:rPr>
                <w:sz w:val="20"/>
                <w:u w:val="dotted"/>
              </w:rPr>
              <w:t>generados</w:t>
            </w:r>
            <w:r>
              <w:rPr>
                <w:spacing w:val="-5"/>
                <w:sz w:val="20"/>
                <w:u w:val="dotted"/>
              </w:rPr>
              <w:t> </w:t>
            </w:r>
            <w:r>
              <w:rPr>
                <w:sz w:val="20"/>
                <w:u w:val="dotted"/>
              </w:rPr>
              <w:t>(1.000.000</w:t>
            </w:r>
            <w:r>
              <w:rPr>
                <w:spacing w:val="-4"/>
                <w:sz w:val="20"/>
                <w:u w:val="dotted"/>
              </w:rPr>
              <w:t> </w:t>
            </w:r>
            <w:r>
              <w:rPr>
                <w:sz w:val="20"/>
                <w:u w:val="dotted"/>
              </w:rPr>
              <w:t>directos),</w:t>
            </w:r>
            <w:r>
              <w:rPr>
                <w:spacing w:val="-3"/>
                <w:sz w:val="20"/>
                <w:u w:val="dotted"/>
              </w:rPr>
              <w:t> </w:t>
            </w:r>
            <w:r>
              <w:rPr>
                <w:sz w:val="20"/>
                <w:u w:val="dotted"/>
              </w:rPr>
              <w:t>el</w:t>
            </w:r>
            <w:r>
              <w:rPr>
                <w:spacing w:val="-3"/>
                <w:sz w:val="20"/>
                <w:u w:val="dotted"/>
              </w:rPr>
              <w:t> </w:t>
            </w:r>
            <w:r>
              <w:rPr>
                <w:sz w:val="20"/>
                <w:u w:val="dotted"/>
              </w:rPr>
              <w:t>22%</w:t>
            </w:r>
            <w:r>
              <w:rPr>
                <w:spacing w:val="-4"/>
                <w:sz w:val="20"/>
                <w:u w:val="dotted"/>
              </w:rPr>
              <w:t> </w:t>
            </w:r>
            <w:r>
              <w:rPr>
                <w:sz w:val="20"/>
                <w:u w:val="dotted"/>
              </w:rPr>
              <w:t>de</w:t>
            </w:r>
            <w:r>
              <w:rPr>
                <w:spacing w:val="-4"/>
                <w:sz w:val="20"/>
                <w:u w:val="dotted"/>
              </w:rPr>
              <w:t> </w:t>
            </w:r>
            <w:r>
              <w:rPr>
                <w:sz w:val="20"/>
                <w:u w:val="dotted"/>
              </w:rPr>
              <w:t>la</w:t>
            </w:r>
            <w:r>
              <w:rPr>
                <w:spacing w:val="-3"/>
                <w:sz w:val="20"/>
                <w:u w:val="dotted"/>
              </w:rPr>
              <w:t> </w:t>
            </w:r>
            <w:r>
              <w:rPr>
                <w:sz w:val="20"/>
                <w:u w:val="dotted"/>
              </w:rPr>
              <w:t>población</w:t>
            </w:r>
            <w:r>
              <w:rPr>
                <w:spacing w:val="-2"/>
                <w:sz w:val="20"/>
                <w:u w:val="dotted"/>
              </w:rPr>
              <w:t> </w:t>
            </w:r>
            <w:r>
              <w:rPr>
                <w:sz w:val="20"/>
                <w:u w:val="dotted"/>
              </w:rPr>
              <w:t>ocupada</w:t>
              <w:tab/>
            </w:r>
          </w:p>
        </w:tc>
      </w:tr>
      <w:tr>
        <w:trPr>
          <w:trHeight w:val="340" w:hRule="atLeast"/>
        </w:trPr>
        <w:tc>
          <w:tcPr>
            <w:tcW w:w="8366" w:type="dxa"/>
          </w:tcPr>
          <w:p>
            <w:pPr>
              <w:pStyle w:val="TableParagraph"/>
              <w:tabs>
                <w:tab w:pos="8084" w:val="left" w:leader="none"/>
              </w:tabs>
              <w:spacing w:line="323" w:lineRule="exact"/>
              <w:jc w:val="right"/>
              <w:rPr>
                <w:sz w:val="20"/>
              </w:rPr>
            </w:pPr>
            <w:r>
              <w:rPr>
                <w:b/>
                <w:color w:val="4F6128"/>
                <w:sz w:val="28"/>
                <w:u w:val="dotted" w:color="000000"/>
              </w:rPr>
              <w:t>90% </w:t>
            </w:r>
            <w:r>
              <w:rPr>
                <w:sz w:val="20"/>
                <w:u w:val="dotted"/>
              </w:rPr>
              <w:t>de contratos</w:t>
            </w:r>
            <w:r>
              <w:rPr>
                <w:spacing w:val="-29"/>
                <w:sz w:val="20"/>
                <w:u w:val="dotted"/>
              </w:rPr>
              <w:t> </w:t>
            </w:r>
            <w:r>
              <w:rPr>
                <w:sz w:val="20"/>
                <w:u w:val="dotted"/>
              </w:rPr>
              <w:t>indefinidos</w:t>
              <w:tab/>
            </w:r>
          </w:p>
        </w:tc>
      </w:tr>
      <w:tr>
        <w:trPr>
          <w:trHeight w:val="300" w:hRule="atLeast"/>
        </w:trPr>
        <w:tc>
          <w:tcPr>
            <w:tcW w:w="8366" w:type="dxa"/>
          </w:tcPr>
          <w:p>
            <w:pPr>
              <w:pStyle w:val="TableParagraph"/>
              <w:spacing w:line="299" w:lineRule="exact"/>
              <w:ind w:left="280"/>
              <w:rPr>
                <w:sz w:val="20"/>
              </w:rPr>
            </w:pPr>
            <w:r>
              <w:rPr>
                <w:b/>
                <w:color w:val="4F6128"/>
                <w:sz w:val="28"/>
              </w:rPr>
              <w:t>70.000 € </w:t>
            </w:r>
            <w:r>
              <w:rPr>
                <w:sz w:val="20"/>
              </w:rPr>
              <w:t>de valor añadido por empleado</w:t>
            </w:r>
          </w:p>
        </w:tc>
      </w:tr>
    </w:tbl>
    <w:p>
      <w:pPr>
        <w:spacing w:after="0" w:line="299" w:lineRule="exact"/>
        <w:rPr>
          <w:sz w:val="20"/>
        </w:rPr>
        <w:sectPr>
          <w:pgSz w:w="11910" w:h="16840"/>
          <w:pgMar w:top="1360" w:bottom="280" w:left="1580" w:right="1280"/>
        </w:sectPr>
      </w:pPr>
    </w:p>
    <w:tbl>
      <w:tblPr>
        <w:tblW w:w="0" w:type="auto"/>
        <w:jc w:val="left"/>
        <w:tblInd w:w="4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8366"/>
      </w:tblGrid>
      <w:tr>
        <w:trPr>
          <w:trHeight w:val="340" w:hRule="atLeast"/>
        </w:trPr>
        <w:tc>
          <w:tcPr>
            <w:tcW w:w="8366" w:type="dxa"/>
            <w:tcBorders>
              <w:top w:val="dotted" w:sz="4" w:space="0" w:color="000000"/>
              <w:bottom w:val="single" w:sz="4" w:space="0" w:color="4F6128"/>
            </w:tcBorders>
          </w:tcPr>
          <w:p>
            <w:pPr>
              <w:pStyle w:val="TableParagraph"/>
              <w:spacing w:before="28"/>
              <w:ind w:left="28"/>
              <w:rPr>
                <w:sz w:val="24"/>
              </w:rPr>
            </w:pPr>
            <w:r>
              <w:rPr>
                <w:color w:val="808080"/>
                <w:sz w:val="24"/>
              </w:rPr>
              <w:t>Vocación Exterior</w:t>
            </w:r>
          </w:p>
        </w:tc>
      </w:tr>
      <w:tr>
        <w:trPr>
          <w:trHeight w:val="660" w:hRule="atLeast"/>
        </w:trPr>
        <w:tc>
          <w:tcPr>
            <w:tcW w:w="8366" w:type="dxa"/>
            <w:tcBorders>
              <w:top w:val="single" w:sz="4" w:space="0" w:color="4F6128"/>
            </w:tcBorders>
          </w:tcPr>
          <w:p>
            <w:pPr>
              <w:pStyle w:val="TableParagraph"/>
              <w:spacing w:before="9"/>
              <w:rPr>
                <w:sz w:val="23"/>
              </w:rPr>
            </w:pPr>
          </w:p>
          <w:p>
            <w:pPr>
              <w:pStyle w:val="TableParagraph"/>
              <w:tabs>
                <w:tab w:pos="8113" w:val="left" w:leader="none"/>
              </w:tabs>
              <w:jc w:val="right"/>
              <w:rPr>
                <w:sz w:val="20"/>
              </w:rPr>
            </w:pPr>
            <w:r>
              <w:rPr>
                <w:rFonts w:ascii="Times New Roman" w:hAnsi="Times New Roman"/>
                <w:color w:val="4F6128"/>
                <w:spacing w:val="-42"/>
                <w:w w:val="100"/>
                <w:sz w:val="28"/>
                <w:u w:val="dotted" w:color="000000"/>
              </w:rPr>
              <w:t> </w:t>
            </w:r>
            <w:r>
              <w:rPr>
                <w:b/>
                <w:color w:val="4F6128"/>
                <w:sz w:val="28"/>
                <w:u w:val="dotted" w:color="000000"/>
              </w:rPr>
              <w:t>125.000 Millones €</w:t>
            </w:r>
            <w:r>
              <w:rPr>
                <w:b/>
                <w:color w:val="4F6128"/>
                <w:spacing w:val="-43"/>
                <w:sz w:val="28"/>
                <w:u w:val="dotted" w:color="000000"/>
              </w:rPr>
              <w:t> </w:t>
            </w:r>
            <w:r>
              <w:rPr>
                <w:sz w:val="20"/>
                <w:u w:val="dotted"/>
              </w:rPr>
              <w:t>de ventas en el exterior (60% de las exportaciones industriales)</w:t>
              <w:tab/>
            </w:r>
          </w:p>
        </w:tc>
      </w:tr>
      <w:tr>
        <w:trPr>
          <w:trHeight w:val="560" w:hRule="atLeast"/>
        </w:trPr>
        <w:tc>
          <w:tcPr>
            <w:tcW w:w="8366" w:type="dxa"/>
            <w:tcBorders>
              <w:bottom w:val="dotted" w:sz="4" w:space="0" w:color="000000"/>
            </w:tcBorders>
          </w:tcPr>
          <w:p>
            <w:pPr>
              <w:pStyle w:val="TableParagraph"/>
              <w:spacing w:line="319" w:lineRule="exact"/>
              <w:ind w:left="280"/>
              <w:rPr>
                <w:sz w:val="20"/>
              </w:rPr>
            </w:pPr>
            <w:r>
              <w:rPr>
                <w:b/>
                <w:color w:val="4F6128"/>
                <w:sz w:val="28"/>
              </w:rPr>
              <w:t>50% </w:t>
            </w:r>
            <w:r>
              <w:rPr>
                <w:sz w:val="20"/>
              </w:rPr>
              <w:t>de sus ventas en mercados internacionales</w:t>
            </w:r>
          </w:p>
        </w:tc>
      </w:tr>
      <w:tr>
        <w:trPr>
          <w:trHeight w:val="340" w:hRule="atLeast"/>
        </w:trPr>
        <w:tc>
          <w:tcPr>
            <w:tcW w:w="8366" w:type="dxa"/>
            <w:tcBorders>
              <w:top w:val="dotted" w:sz="4" w:space="0" w:color="000000"/>
              <w:bottom w:val="single" w:sz="4" w:space="0" w:color="4F6128"/>
            </w:tcBorders>
          </w:tcPr>
          <w:p>
            <w:pPr>
              <w:pStyle w:val="TableParagraph"/>
              <w:spacing w:before="25"/>
              <w:ind w:left="28"/>
              <w:rPr>
                <w:sz w:val="24"/>
              </w:rPr>
            </w:pPr>
            <w:r>
              <w:rPr>
                <w:color w:val="808080"/>
                <w:sz w:val="24"/>
              </w:rPr>
              <w:t>Inversión e Innovación</w:t>
            </w:r>
          </w:p>
        </w:tc>
      </w:tr>
      <w:tr>
        <w:trPr>
          <w:trHeight w:val="660" w:hRule="atLeast"/>
        </w:trPr>
        <w:tc>
          <w:tcPr>
            <w:tcW w:w="8366" w:type="dxa"/>
            <w:tcBorders>
              <w:top w:val="single" w:sz="4" w:space="0" w:color="4F6128"/>
            </w:tcBorders>
          </w:tcPr>
          <w:p>
            <w:pPr>
              <w:pStyle w:val="TableParagraph"/>
              <w:spacing w:before="9"/>
              <w:rPr>
                <w:sz w:val="23"/>
              </w:rPr>
            </w:pPr>
          </w:p>
          <w:p>
            <w:pPr>
              <w:pStyle w:val="TableParagraph"/>
              <w:tabs>
                <w:tab w:pos="8084" w:val="left" w:leader="none"/>
              </w:tabs>
              <w:jc w:val="right"/>
              <w:rPr>
                <w:sz w:val="20"/>
              </w:rPr>
            </w:pPr>
            <w:r>
              <w:rPr>
                <w:b/>
                <w:color w:val="4F6128"/>
                <w:sz w:val="28"/>
                <w:u w:val="dotted" w:color="000000"/>
              </w:rPr>
              <w:t>45.000 Millones €</w:t>
            </w:r>
            <w:r>
              <w:rPr>
                <w:b/>
                <w:color w:val="4F6128"/>
                <w:spacing w:val="-41"/>
                <w:sz w:val="28"/>
                <w:u w:val="dotted" w:color="000000"/>
              </w:rPr>
              <w:t> </w:t>
            </w:r>
            <w:r>
              <w:rPr>
                <w:sz w:val="20"/>
                <w:u w:val="dotted"/>
              </w:rPr>
              <w:t>invertidos en España en los últimos 5 años</w:t>
              <w:tab/>
            </w:r>
          </w:p>
        </w:tc>
      </w:tr>
      <w:tr>
        <w:trPr>
          <w:trHeight w:val="300" w:hRule="atLeast"/>
        </w:trPr>
        <w:tc>
          <w:tcPr>
            <w:tcW w:w="8366" w:type="dxa"/>
          </w:tcPr>
          <w:p>
            <w:pPr>
              <w:pStyle w:val="TableParagraph"/>
              <w:spacing w:line="299" w:lineRule="exact"/>
              <w:ind w:left="280"/>
              <w:rPr>
                <w:sz w:val="20"/>
              </w:rPr>
            </w:pPr>
            <w:r>
              <w:rPr>
                <w:b/>
                <w:color w:val="4F6128"/>
                <w:sz w:val="28"/>
              </w:rPr>
              <w:t>50% </w:t>
            </w:r>
            <w:r>
              <w:rPr>
                <w:sz w:val="20"/>
              </w:rPr>
              <w:t>de la Inversión industrial en I+D+i</w:t>
            </w:r>
          </w:p>
        </w:tc>
      </w:tr>
    </w:tbl>
    <w:sectPr>
      <w:pgSz w:w="11910" w:h="16840"/>
      <w:pgMar w:top="1400" w:bottom="280" w:left="1680" w:right="12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libri">
    <w:altName w:val="Calibri"/>
    <w:charset w:val="0"/>
    <w:family w:val="swiss"/>
    <w:pitch w:val="variable"/>
  </w:font>
  <w:font w:name="Calibri-BoldItalic">
    <w:altName w:val="Calibri-BoldItalic"/>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rPr>
  </w:style>
  <w:style w:styleId="BodyText" w:type="paragraph">
    <w:name w:val="Body Text"/>
    <w:basedOn w:val="Normal"/>
    <w:uiPriority w:val="1"/>
    <w:qFormat/>
    <w:pPr/>
    <w:rPr>
      <w:rFonts w:ascii="Calibri" w:hAnsi="Calibri" w:eastAsia="Calibri" w:cs="Calibri"/>
      <w:sz w:val="24"/>
      <w:szCs w:val="24"/>
    </w:rPr>
  </w:style>
  <w:style w:styleId="Heading1" w:type="paragraph">
    <w:name w:val="Heading 1"/>
    <w:basedOn w:val="Normal"/>
    <w:uiPriority w:val="1"/>
    <w:qFormat/>
    <w:pPr>
      <w:ind w:left="122"/>
      <w:jc w:val="center"/>
      <w:outlineLvl w:val="1"/>
    </w:pPr>
    <w:rPr>
      <w:rFonts w:ascii="Calibri" w:hAnsi="Calibri" w:eastAsia="Calibri" w:cs="Calibri"/>
      <w:b/>
      <w:bCs/>
      <w:sz w:val="28"/>
      <w:szCs w:val="28"/>
    </w:rPr>
  </w:style>
  <w:style w:styleId="ListParagraph" w:type="paragraph">
    <w:name w:val="List Paragraph"/>
    <w:basedOn w:val="Normal"/>
    <w:uiPriority w:val="1"/>
    <w:qFormat/>
    <w:pPr/>
    <w:rPr/>
  </w:style>
  <w:style w:styleId="TableParagraph" w:type="paragraph">
    <w:name w:val="Table Paragraph"/>
    <w:basedOn w:val="Normal"/>
    <w:uiPriority w:val="1"/>
    <w:qFormat/>
    <w:pPr/>
    <w:rPr>
      <w:rFonts w:ascii="Calibri" w:hAnsi="Calibri" w:eastAsia="Calibri" w:cs="Calibri"/>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hyperlink" Target="mailto:adolfo.randulfe@anfac.es" TargetMode="External"/><Relationship Id="rId8" Type="http://schemas.openxmlformats.org/officeDocument/2006/relationships/hyperlink" Target="mailto:ines.cardenal@aop.es" TargetMode="External"/><Relationship Id="rId9" Type="http://schemas.openxmlformats.org/officeDocument/2006/relationships/hyperlink" Target="mailto:aalvarez@informacioneimagen.es" TargetMode="External"/><Relationship Id="rId10" Type="http://schemas.openxmlformats.org/officeDocument/2006/relationships/hyperlink" Target="mailto:ehm@feique.org" TargetMode="External"/><Relationship Id="rId11" Type="http://schemas.openxmlformats.org/officeDocument/2006/relationships/hyperlink" Target="mailto:m.suarez@fiab.es" TargetMode="External"/><Relationship Id="rId12" Type="http://schemas.openxmlformats.org/officeDocument/2006/relationships/hyperlink" Target="mailto:pharo@oficemen.com" TargetMode="External"/><Relationship Id="rId13" Type="http://schemas.openxmlformats.org/officeDocument/2006/relationships/hyperlink" Target="mailto:luzmapiqueres@informacioneimagen.es" TargetMode="Externa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2017-05-24T17:19:35Z</dcterms:created>
  <dcterms:modified xsi:type="dcterms:W3CDTF">2017-05-24T17:19:35Z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2017-02-08T00:00:00Z</vt:filetime>
  </property>
  <property fmtid="{D5CDD505-2E9C-101B-9397-08002B2CF9AE}" pid="3" name="Creator">
    <vt:lpwstr>Microsoft® Word 2016</vt:lpwstr>
  </property>
  <property fmtid="{D5CDD505-2E9C-101B-9397-08002B2CF9AE}" pid="4" name="LastSaved">
    <vt:filetime>2017-05-24T00:00:00Z</vt:filetime>
  </property>
</Properties>
</file>